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1BE4" w14:textId="77777777" w:rsidR="00E4600A" w:rsidRPr="00776DBD" w:rsidRDefault="00E4600A" w:rsidP="00E4600A">
      <w:pPr>
        <w:widowControl/>
        <w:jc w:val="center"/>
        <w:rPr>
          <w:rFonts w:eastAsia="標楷體" w:cs="Calibri"/>
          <w:b/>
          <w:bCs/>
          <w:sz w:val="40"/>
          <w:szCs w:val="40"/>
        </w:rPr>
      </w:pPr>
      <w:bookmarkStart w:id="0" w:name="_Hlk65746277"/>
      <w:r w:rsidRPr="00776DBD">
        <w:rPr>
          <w:rFonts w:eastAsia="標楷體" w:cs="Calibri"/>
          <w:b/>
          <w:bCs/>
          <w:sz w:val="40"/>
          <w:szCs w:val="40"/>
        </w:rPr>
        <w:t>社團法人中國工業工程學會</w:t>
      </w:r>
      <w:bookmarkStart w:id="1" w:name="_Hlk65747768"/>
    </w:p>
    <w:p w14:paraId="5C80A5F6" w14:textId="77777777" w:rsidR="00E4600A" w:rsidRPr="00776DBD" w:rsidRDefault="00E4600A" w:rsidP="00E4600A">
      <w:pPr>
        <w:widowControl/>
        <w:jc w:val="center"/>
        <w:rPr>
          <w:rFonts w:eastAsia="標楷體" w:cs="Calibri"/>
          <w:b/>
          <w:bCs/>
          <w:sz w:val="40"/>
          <w:szCs w:val="40"/>
        </w:rPr>
      </w:pPr>
      <w:r w:rsidRPr="00776DBD">
        <w:rPr>
          <w:rFonts w:eastAsia="標楷體" w:cs="Calibri"/>
          <w:b/>
          <w:bCs/>
          <w:sz w:val="40"/>
          <w:szCs w:val="40"/>
        </w:rPr>
        <w:t>「工業工程論文獎」</w:t>
      </w:r>
    </w:p>
    <w:p w14:paraId="4E6BA7AE" w14:textId="77777777" w:rsidR="00E4600A" w:rsidRPr="00776DBD" w:rsidRDefault="00E4600A" w:rsidP="00E4600A">
      <w:pPr>
        <w:widowControl/>
        <w:jc w:val="center"/>
        <w:rPr>
          <w:rFonts w:eastAsia="標楷體" w:cs="Calibri"/>
          <w:b/>
          <w:bCs/>
          <w:sz w:val="40"/>
          <w:szCs w:val="40"/>
        </w:rPr>
      </w:pPr>
      <w:r w:rsidRPr="00776DBD">
        <w:rPr>
          <w:rFonts w:eastAsia="標楷體" w:cs="Calibri"/>
          <w:b/>
          <w:bCs/>
          <w:sz w:val="40"/>
          <w:szCs w:val="40"/>
        </w:rPr>
        <w:t>評選辦法</w:t>
      </w:r>
      <w:bookmarkEnd w:id="0"/>
      <w:bookmarkEnd w:id="1"/>
    </w:p>
    <w:p w14:paraId="130CABD6" w14:textId="77777777" w:rsidR="00E4600A" w:rsidRDefault="00E4600A" w:rsidP="00E4600A">
      <w:pPr>
        <w:snapToGrid w:val="0"/>
        <w:spacing w:line="240" w:lineRule="atLeast"/>
        <w:jc w:val="right"/>
        <w:rPr>
          <w:rFonts w:ascii="標楷體" w:eastAsia="標楷體"/>
        </w:rPr>
      </w:pPr>
    </w:p>
    <w:p w14:paraId="6828DA40" w14:textId="77777777" w:rsidR="00E4600A" w:rsidRPr="00483970" w:rsidRDefault="00E4600A" w:rsidP="00E4600A">
      <w:pPr>
        <w:snapToGrid w:val="0"/>
        <w:spacing w:line="240" w:lineRule="atLeast"/>
        <w:jc w:val="right"/>
        <w:rPr>
          <w:rFonts w:ascii="標楷體" w:eastAsia="標楷體" w:hAnsi="標楷體" w:hint="eastAsia"/>
          <w:sz w:val="20"/>
          <w:szCs w:val="20"/>
        </w:rPr>
      </w:pPr>
      <w:r w:rsidRPr="00483970">
        <w:rPr>
          <w:rFonts w:ascii="標楷體" w:eastAsia="標楷體" w:hint="eastAsia"/>
          <w:sz w:val="20"/>
          <w:szCs w:val="20"/>
        </w:rPr>
        <w:t>90年</w:t>
      </w:r>
      <w:r w:rsidRPr="00483970">
        <w:rPr>
          <w:rFonts w:ascii="標楷體" w:eastAsia="標楷體" w:hAnsi="標楷體" w:hint="eastAsia"/>
          <w:sz w:val="20"/>
          <w:szCs w:val="20"/>
        </w:rPr>
        <w:t>4月13日理監事會</w:t>
      </w:r>
      <w:r>
        <w:rPr>
          <w:rFonts w:ascii="標楷體" w:eastAsia="標楷體" w:hAnsi="標楷體" w:hint="eastAsia"/>
          <w:sz w:val="20"/>
          <w:szCs w:val="20"/>
        </w:rPr>
        <w:t>議</w:t>
      </w:r>
      <w:r w:rsidRPr="00483970">
        <w:rPr>
          <w:rFonts w:ascii="標楷體" w:eastAsia="標楷體" w:hAnsi="標楷體" w:hint="eastAsia"/>
          <w:sz w:val="20"/>
          <w:szCs w:val="20"/>
        </w:rPr>
        <w:t>通過</w:t>
      </w:r>
      <w:r>
        <w:rPr>
          <w:rFonts w:ascii="標楷體" w:eastAsia="標楷體" w:hAnsi="標楷體" w:hint="eastAsia"/>
          <w:sz w:val="20"/>
          <w:szCs w:val="20"/>
        </w:rPr>
        <w:t>訂定</w:t>
      </w:r>
    </w:p>
    <w:p w14:paraId="0249BB38" w14:textId="77777777" w:rsidR="00E4600A" w:rsidRPr="00483970" w:rsidRDefault="00E4600A" w:rsidP="00E4600A">
      <w:pPr>
        <w:jc w:val="right"/>
        <w:rPr>
          <w:rFonts w:eastAsia="MS Mincho" w:hint="eastAsia"/>
          <w:sz w:val="20"/>
          <w:szCs w:val="20"/>
        </w:rPr>
      </w:pPr>
      <w:r w:rsidRPr="00483970">
        <w:rPr>
          <w:rFonts w:ascii="標楷體" w:eastAsia="標楷體" w:hAnsi="標楷體" w:hint="eastAsia"/>
          <w:sz w:val="20"/>
          <w:szCs w:val="20"/>
        </w:rPr>
        <w:t>110年3月13日理監事會</w:t>
      </w:r>
      <w:r>
        <w:rPr>
          <w:rFonts w:ascii="標楷體" w:eastAsia="標楷體" w:hAnsi="標楷體" w:hint="eastAsia"/>
          <w:sz w:val="20"/>
          <w:szCs w:val="20"/>
        </w:rPr>
        <w:t>議</w:t>
      </w:r>
      <w:r w:rsidRPr="00483970">
        <w:rPr>
          <w:rFonts w:ascii="標楷體" w:eastAsia="標楷體" w:hAnsi="標楷體" w:hint="eastAsia"/>
          <w:sz w:val="20"/>
          <w:szCs w:val="20"/>
        </w:rPr>
        <w:t>通過</w:t>
      </w:r>
      <w:r>
        <w:rPr>
          <w:rFonts w:ascii="標楷體" w:eastAsia="標楷體" w:hAnsi="標楷體" w:hint="eastAsia"/>
          <w:sz w:val="20"/>
          <w:szCs w:val="20"/>
        </w:rPr>
        <w:t>修訂</w:t>
      </w:r>
    </w:p>
    <w:p w14:paraId="61A01162" w14:textId="77777777" w:rsidR="00E4600A" w:rsidRPr="00483970" w:rsidRDefault="00E4600A" w:rsidP="00E4600A">
      <w:pPr>
        <w:snapToGrid w:val="0"/>
        <w:spacing w:line="240" w:lineRule="atLeast"/>
        <w:jc w:val="right"/>
        <w:rPr>
          <w:rFonts w:ascii="標楷體" w:eastAsia="標楷體" w:hint="eastAsia"/>
          <w:sz w:val="20"/>
        </w:rPr>
      </w:pPr>
    </w:p>
    <w:p w14:paraId="0EF95B59" w14:textId="3FDAAD97" w:rsidR="00E4600A" w:rsidRPr="00E4600A" w:rsidRDefault="00E4600A" w:rsidP="00E4600A">
      <w:pPr>
        <w:numPr>
          <w:ilvl w:val="0"/>
          <w:numId w:val="1"/>
        </w:numPr>
        <w:snapToGrid w:val="0"/>
        <w:spacing w:line="240" w:lineRule="atLeast"/>
        <w:jc w:val="both"/>
        <w:rPr>
          <w:rFonts w:ascii="標楷體" w:eastAsia="標楷體" w:hAnsi="標楷體" w:hint="eastAsia"/>
          <w:sz w:val="28"/>
          <w:szCs w:val="28"/>
        </w:rPr>
      </w:pPr>
      <w:bookmarkStart w:id="2" w:name="_Hlk65746142"/>
      <w:r w:rsidRPr="008753DA">
        <w:rPr>
          <w:rFonts w:ascii="標楷體" w:eastAsia="標楷體" w:hAnsi="標楷體" w:hint="eastAsia"/>
          <w:sz w:val="28"/>
          <w:szCs w:val="28"/>
        </w:rPr>
        <w:t>本學會為鼓勵會員在本學會學刊</w:t>
      </w:r>
      <w:r w:rsidRPr="008753DA">
        <w:rPr>
          <w:rFonts w:ascii="標楷體" w:eastAsia="標楷體" w:hAnsi="標楷體"/>
          <w:sz w:val="28"/>
          <w:szCs w:val="28"/>
        </w:rPr>
        <w:t xml:space="preserve"> </w:t>
      </w:r>
      <w:r w:rsidRPr="00773CDA">
        <w:rPr>
          <w:rFonts w:ascii="標楷體" w:eastAsia="標楷體" w:hAnsi="標楷體"/>
          <w:sz w:val="28"/>
          <w:szCs w:val="28"/>
        </w:rPr>
        <w:t xml:space="preserve">(Journal of Industrial and Production Engineering) </w:t>
      </w:r>
      <w:r w:rsidRPr="00773CDA">
        <w:rPr>
          <w:rFonts w:ascii="標楷體" w:eastAsia="標楷體" w:hAnsi="標楷體" w:hint="eastAsia"/>
          <w:sz w:val="28"/>
          <w:szCs w:val="28"/>
        </w:rPr>
        <w:t>發表學術論文，特設置「工業工程論</w:t>
      </w:r>
      <w:r w:rsidRPr="00E4600A">
        <w:rPr>
          <w:rFonts w:ascii="標楷體" w:eastAsia="標楷體" w:hAnsi="標楷體" w:hint="eastAsia"/>
          <w:sz w:val="28"/>
          <w:szCs w:val="28"/>
        </w:rPr>
        <w:t>文獎」，每年評定給獎論文最多四篇。</w:t>
      </w:r>
      <w:bookmarkEnd w:id="2"/>
    </w:p>
    <w:p w14:paraId="0F321298" w14:textId="77777777" w:rsidR="00E4600A" w:rsidRPr="00773CDA" w:rsidRDefault="00E4600A" w:rsidP="00E4600A">
      <w:pPr>
        <w:snapToGrid w:val="0"/>
        <w:spacing w:line="240" w:lineRule="atLeast"/>
        <w:ind w:firstLineChars="257" w:firstLine="720"/>
        <w:jc w:val="both"/>
        <w:rPr>
          <w:rFonts w:ascii="標楷體" w:eastAsia="標楷體" w:hAnsi="標楷體" w:hint="eastAsia"/>
          <w:sz w:val="28"/>
          <w:szCs w:val="28"/>
        </w:rPr>
      </w:pPr>
    </w:p>
    <w:p w14:paraId="0EFFF99C" w14:textId="77777777" w:rsidR="00E4600A" w:rsidRDefault="00E4600A" w:rsidP="00E4600A">
      <w:pPr>
        <w:numPr>
          <w:ilvl w:val="0"/>
          <w:numId w:val="1"/>
        </w:numPr>
        <w:snapToGrid w:val="0"/>
        <w:spacing w:line="240" w:lineRule="atLeast"/>
        <w:ind w:left="720" w:hanging="720"/>
        <w:jc w:val="both"/>
        <w:rPr>
          <w:rFonts w:ascii="標楷體" w:eastAsia="標楷體" w:hAnsi="標楷體" w:hint="eastAsia"/>
          <w:sz w:val="28"/>
          <w:szCs w:val="28"/>
        </w:rPr>
      </w:pPr>
      <w:r w:rsidRPr="00773CDA">
        <w:rPr>
          <w:rFonts w:ascii="標楷體" w:eastAsia="標楷體" w:hAnsi="標楷體" w:hint="eastAsia"/>
          <w:sz w:val="28"/>
          <w:szCs w:val="28"/>
        </w:rPr>
        <w:t>每年「工業工程論文獎」給獎論文之推薦，由本會學刊當年之諮詢委員暨編輯委員組成「論文獎評選委員會」進行評選。</w:t>
      </w:r>
    </w:p>
    <w:p w14:paraId="0D17857B" w14:textId="77777777" w:rsidR="00E4600A" w:rsidRPr="00773CDA" w:rsidRDefault="00E4600A" w:rsidP="00E4600A">
      <w:pPr>
        <w:snapToGrid w:val="0"/>
        <w:spacing w:line="240" w:lineRule="atLeast"/>
        <w:ind w:left="720"/>
        <w:jc w:val="both"/>
        <w:rPr>
          <w:rFonts w:ascii="標楷體" w:eastAsia="標楷體" w:hAnsi="標楷體" w:hint="eastAsia"/>
          <w:sz w:val="28"/>
          <w:szCs w:val="28"/>
        </w:rPr>
      </w:pPr>
    </w:p>
    <w:p w14:paraId="5A686ED0" w14:textId="77777777" w:rsidR="00E4600A" w:rsidRDefault="00E4600A" w:rsidP="00E4600A">
      <w:pPr>
        <w:numPr>
          <w:ilvl w:val="0"/>
          <w:numId w:val="1"/>
        </w:numPr>
        <w:snapToGrid w:val="0"/>
        <w:spacing w:line="24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773CDA">
        <w:rPr>
          <w:rFonts w:ascii="標楷體" w:eastAsia="標楷體" w:hAnsi="標楷體" w:hint="eastAsia"/>
          <w:sz w:val="28"/>
          <w:szCs w:val="28"/>
        </w:rPr>
        <w:t>論文獎評選委員會在每年九月底以前完成評選工作，並向理事會或理監事聯席會議推薦候選之給獎論文，經理事會或理監事聯席會議三分之二以上（含）投票通過後，於當年學會年會頒發獎狀(金)。</w:t>
      </w:r>
    </w:p>
    <w:p w14:paraId="73700511" w14:textId="77777777" w:rsidR="00E4600A" w:rsidRPr="00773CDA" w:rsidRDefault="00E4600A" w:rsidP="00E4600A">
      <w:pPr>
        <w:snapToGrid w:val="0"/>
        <w:spacing w:line="240" w:lineRule="atLeast"/>
        <w:ind w:left="397"/>
        <w:jc w:val="both"/>
        <w:rPr>
          <w:rFonts w:ascii="標楷體" w:eastAsia="標楷體" w:hAnsi="標楷體" w:hint="eastAsia"/>
          <w:sz w:val="28"/>
          <w:szCs w:val="28"/>
        </w:rPr>
      </w:pPr>
    </w:p>
    <w:p w14:paraId="2B7F3F69" w14:textId="77777777" w:rsidR="00E4600A" w:rsidRPr="00773CDA" w:rsidRDefault="00E4600A" w:rsidP="00E4600A">
      <w:pPr>
        <w:numPr>
          <w:ilvl w:val="0"/>
          <w:numId w:val="1"/>
        </w:numPr>
        <w:snapToGrid w:val="0"/>
        <w:spacing w:line="24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773CDA">
        <w:rPr>
          <w:rFonts w:ascii="標楷體" w:eastAsia="標楷體" w:hAnsi="標楷體" w:hint="eastAsia"/>
          <w:sz w:val="28"/>
          <w:szCs w:val="28"/>
        </w:rPr>
        <w:t>獲獎之論文，必須符合下列各項規定。</w:t>
      </w:r>
    </w:p>
    <w:p w14:paraId="4BB057B7" w14:textId="77777777" w:rsidR="00E4600A" w:rsidRPr="00773CDA" w:rsidRDefault="00E4600A" w:rsidP="00E4600A">
      <w:pPr>
        <w:snapToGrid w:val="0"/>
        <w:spacing w:line="240" w:lineRule="atLeast"/>
        <w:ind w:leftChars="315" w:left="2198" w:hangingChars="515" w:hanging="1442"/>
        <w:jc w:val="both"/>
        <w:rPr>
          <w:rFonts w:ascii="標楷體" w:eastAsia="標楷體" w:hAnsi="標楷體" w:hint="eastAsia"/>
          <w:sz w:val="28"/>
          <w:szCs w:val="28"/>
        </w:rPr>
      </w:pPr>
      <w:r w:rsidRPr="00773CDA">
        <w:rPr>
          <w:rFonts w:ascii="標楷體" w:eastAsia="標楷體" w:hAnsi="標楷體"/>
          <w:sz w:val="28"/>
          <w:szCs w:val="28"/>
        </w:rPr>
        <w:t xml:space="preserve">(1) </w:t>
      </w:r>
      <w:r w:rsidRPr="00773CDA">
        <w:rPr>
          <w:rFonts w:ascii="標楷體" w:eastAsia="標楷體" w:hAnsi="標楷體" w:hint="eastAsia"/>
          <w:sz w:val="28"/>
          <w:szCs w:val="28"/>
        </w:rPr>
        <w:t>性質：論文以研究性質為主，不論在學理、實驗、製造或施工方面有新的發現或有經濟上的成就均可被推薦。</w:t>
      </w:r>
    </w:p>
    <w:p w14:paraId="4721E6A4" w14:textId="77777777" w:rsidR="00E4600A" w:rsidRPr="008753DA" w:rsidRDefault="00E4600A" w:rsidP="00E4600A">
      <w:pPr>
        <w:tabs>
          <w:tab w:val="num" w:pos="1440"/>
        </w:tabs>
        <w:snapToGrid w:val="0"/>
        <w:spacing w:line="240" w:lineRule="atLeast"/>
        <w:ind w:leftChars="300" w:left="2159" w:hangingChars="514" w:hanging="1439"/>
        <w:jc w:val="both"/>
        <w:rPr>
          <w:rFonts w:ascii="標楷體" w:eastAsia="標楷體" w:hAnsi="標楷體"/>
          <w:sz w:val="28"/>
          <w:szCs w:val="28"/>
        </w:rPr>
      </w:pPr>
      <w:r w:rsidRPr="00773CDA">
        <w:rPr>
          <w:rFonts w:ascii="標楷體" w:eastAsia="標楷體" w:hAnsi="標楷體"/>
          <w:sz w:val="28"/>
          <w:szCs w:val="28"/>
        </w:rPr>
        <w:t xml:space="preserve">(2) </w:t>
      </w:r>
      <w:r w:rsidRPr="00773CDA">
        <w:rPr>
          <w:rFonts w:ascii="標楷體" w:eastAsia="標楷體" w:hAnsi="標楷體" w:hint="eastAsia"/>
          <w:sz w:val="28"/>
          <w:szCs w:val="28"/>
        </w:rPr>
        <w:t>發表：論文必須在本學會出版之「中國工業工程學刊」發表，並且以在給獎年度之前一年的一月一日至十</w:t>
      </w:r>
      <w:r w:rsidRPr="008753DA">
        <w:rPr>
          <w:rFonts w:ascii="標楷體" w:eastAsia="標楷體" w:hAnsi="標楷體" w:hint="eastAsia"/>
          <w:sz w:val="28"/>
          <w:szCs w:val="28"/>
        </w:rPr>
        <w:t>二月三十一日期間內刊登者為限。</w:t>
      </w:r>
    </w:p>
    <w:p w14:paraId="7A99EF47" w14:textId="77777777" w:rsidR="00E4600A" w:rsidRDefault="00E4600A" w:rsidP="00E4600A">
      <w:pPr>
        <w:tabs>
          <w:tab w:val="num" w:pos="1440"/>
        </w:tabs>
        <w:snapToGrid w:val="0"/>
        <w:spacing w:line="240" w:lineRule="atLeast"/>
        <w:ind w:leftChars="300" w:left="2159" w:hangingChars="514" w:hanging="1439"/>
        <w:jc w:val="both"/>
        <w:rPr>
          <w:rFonts w:ascii="標楷體" w:eastAsia="標楷體" w:hAnsi="標楷體" w:hint="eastAsia"/>
          <w:sz w:val="28"/>
          <w:szCs w:val="28"/>
        </w:rPr>
      </w:pPr>
      <w:r w:rsidRPr="008753DA">
        <w:rPr>
          <w:rFonts w:ascii="標楷體" w:eastAsia="標楷體" w:hAnsi="標楷體" w:hint="eastAsia"/>
          <w:sz w:val="28"/>
          <w:szCs w:val="28"/>
        </w:rPr>
        <w:t>(3)</w:t>
      </w:r>
      <w:r w:rsidRPr="008753DA">
        <w:rPr>
          <w:rFonts w:ascii="標楷體" w:eastAsia="標楷體" w:hAnsi="標楷體"/>
          <w:sz w:val="28"/>
          <w:szCs w:val="28"/>
        </w:rPr>
        <w:t xml:space="preserve"> </w:t>
      </w:r>
      <w:r w:rsidRPr="008753DA">
        <w:rPr>
          <w:rFonts w:ascii="標楷體" w:eastAsia="標楷體" w:hAnsi="標楷體" w:hint="eastAsia"/>
          <w:sz w:val="28"/>
          <w:szCs w:val="28"/>
        </w:rPr>
        <w:t>作者：作者之一必須是本會會員。</w:t>
      </w:r>
    </w:p>
    <w:p w14:paraId="7E7D5E7E" w14:textId="77777777" w:rsidR="00E4600A" w:rsidRPr="008753DA" w:rsidRDefault="00E4600A" w:rsidP="00E4600A">
      <w:pPr>
        <w:tabs>
          <w:tab w:val="num" w:pos="1440"/>
        </w:tabs>
        <w:snapToGrid w:val="0"/>
        <w:spacing w:line="240" w:lineRule="atLeast"/>
        <w:ind w:leftChars="300" w:left="2159" w:hangingChars="514" w:hanging="1439"/>
        <w:jc w:val="both"/>
        <w:rPr>
          <w:rFonts w:ascii="標楷體" w:eastAsia="標楷體" w:hAnsi="標楷體" w:hint="eastAsia"/>
          <w:strike/>
          <w:sz w:val="28"/>
          <w:szCs w:val="28"/>
        </w:rPr>
      </w:pPr>
    </w:p>
    <w:p w14:paraId="6E401C10" w14:textId="2A9EF09A" w:rsidR="000269F6" w:rsidRDefault="00E4600A" w:rsidP="00E4600A">
      <w:r w:rsidRPr="008753DA">
        <w:rPr>
          <w:rFonts w:ascii="標楷體" w:eastAsia="標楷體" w:hAnsi="標楷體" w:hint="eastAsia"/>
          <w:sz w:val="28"/>
          <w:szCs w:val="28"/>
        </w:rPr>
        <w:t>本辦法經理監事會通過後實施，修正時亦同。</w:t>
      </w:r>
    </w:p>
    <w:sectPr w:rsidR="000269F6" w:rsidSect="002C6AB2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E0AFD"/>
    <w:multiLevelType w:val="singleLevel"/>
    <w:tmpl w:val="FC60AEC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A"/>
    <w:rsid w:val="000269F6"/>
    <w:rsid w:val="002C6AB2"/>
    <w:rsid w:val="004B79E4"/>
    <w:rsid w:val="007B2A34"/>
    <w:rsid w:val="00E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7619"/>
  <w15:chartTrackingRefBased/>
  <w15:docId w15:val="{9EE2DE59-3C04-439C-A0BF-BF99363F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0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2021-03-16T05:18:00Z</dcterms:created>
  <dcterms:modified xsi:type="dcterms:W3CDTF">2021-03-16T05:23:00Z</dcterms:modified>
</cp:coreProperties>
</file>